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B3B5E5">
      <w:pPr>
        <w:jc w:val="left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1EE7C3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/>
        <w:jc w:val="center"/>
        <w:textAlignment w:val="auto"/>
        <w:rPr>
          <w:rFonts w:hint="default" w:ascii="宋体" w:hAnsi="宋体" w:eastAsia="宋体" w:cs="宋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44"/>
          <w:szCs w:val="44"/>
          <w:highlight w:val="none"/>
          <w:lang w:val="en-US" w:eastAsia="zh-CN"/>
        </w:rPr>
        <w:t>陕西省救灾物资储备中心2026年度省级应急救灾物资采购(第一阶段)第四标段</w:t>
      </w:r>
    </w:p>
    <w:tbl>
      <w:tblPr>
        <w:tblStyle w:val="16"/>
        <w:tblpPr w:leftFromText="180" w:rightFromText="180" w:vertAnchor="text" w:horzAnchor="page" w:tblpXSpec="center" w:tblpY="668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3077"/>
        <w:gridCol w:w="2373"/>
        <w:gridCol w:w="2642"/>
      </w:tblGrid>
      <w:tr w14:paraId="38FD2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480" w:type="pct"/>
            <w:noWrap/>
            <w:vAlign w:val="center"/>
          </w:tcPr>
          <w:p w14:paraId="6A0832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718" w:type="pct"/>
            <w:noWrap/>
            <w:vAlign w:val="center"/>
          </w:tcPr>
          <w:p w14:paraId="0B63E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  <w:t>品种</w:t>
            </w:r>
          </w:p>
        </w:tc>
        <w:tc>
          <w:tcPr>
            <w:tcW w:w="1325" w:type="pct"/>
            <w:noWrap/>
            <w:vAlign w:val="center"/>
          </w:tcPr>
          <w:p w14:paraId="08D75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  <w:t>计划资金（万元）</w:t>
            </w:r>
          </w:p>
        </w:tc>
        <w:tc>
          <w:tcPr>
            <w:tcW w:w="1475" w:type="pct"/>
            <w:noWrap/>
            <w:vAlign w:val="center"/>
          </w:tcPr>
          <w:p w14:paraId="6BAA75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单价最高限价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</w:rPr>
              <w:t>（元）</w:t>
            </w:r>
          </w:p>
        </w:tc>
      </w:tr>
      <w:tr w14:paraId="6DF92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" w:type="pct"/>
            <w:noWrap/>
            <w:vAlign w:val="center"/>
          </w:tcPr>
          <w:p w14:paraId="703CBB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718" w:type="pct"/>
            <w:noWrap/>
            <w:vAlign w:val="center"/>
          </w:tcPr>
          <w:p w14:paraId="7A62F5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台式电风扇</w:t>
            </w:r>
          </w:p>
        </w:tc>
        <w:tc>
          <w:tcPr>
            <w:tcW w:w="1325" w:type="pct"/>
            <w:noWrap/>
            <w:vAlign w:val="center"/>
          </w:tcPr>
          <w:p w14:paraId="5E88C3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1475" w:type="pct"/>
            <w:noWrap/>
            <w:vAlign w:val="center"/>
          </w:tcPr>
          <w:p w14:paraId="4EE036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120元</w:t>
            </w:r>
          </w:p>
        </w:tc>
      </w:tr>
    </w:tbl>
    <w:p w14:paraId="46A5C8F5">
      <w:pPr>
        <w:spacing w:line="300" w:lineRule="exact"/>
        <w:jc w:val="both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sectPr>
          <w:footerReference r:id="rId3" w:type="default"/>
          <w:pgSz w:w="11911" w:h="16838"/>
          <w:pgMar w:top="1701" w:right="1587" w:bottom="1587" w:left="1587" w:header="850" w:footer="964" w:gutter="0"/>
          <w:pgNumType w:fmt="numberInDash" w:start="1"/>
          <w:cols w:space="0" w:num="1"/>
          <w:rtlGutter w:val="1"/>
          <w:docGrid w:type="linesAndChars" w:linePitch="615" w:charSpace="-1632"/>
        </w:sectPr>
      </w:pPr>
    </w:p>
    <w:p w14:paraId="7E404C21"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40"/>
        <w:ind w:leftChars="0"/>
        <w:jc w:val="center"/>
        <w:textAlignment w:val="auto"/>
        <w:rPr>
          <w:rFonts w:hint="eastAsia" w:asci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lang w:val="en-US" w:eastAsia="zh-CN"/>
        </w:rPr>
        <w:t>救灾专用台式电风扇技术文件</w:t>
      </w:r>
    </w:p>
    <w:p w14:paraId="09491DF3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400" w:lineRule="exact"/>
        <w:ind w:left="454" w:hanging="454"/>
        <w:textAlignment w:val="auto"/>
        <w:rPr>
          <w:rFonts w:hint="eastAsia"/>
          <w:b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color w:val="auto"/>
          <w:sz w:val="28"/>
          <w:szCs w:val="28"/>
          <w:lang w:val="en-US" w:eastAsia="zh-CN"/>
        </w:rPr>
        <w:t>样式</w:t>
      </w:r>
    </w:p>
    <w:p w14:paraId="7CBB35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420" w:firstLineChars="200"/>
        <w:jc w:val="both"/>
        <w:textAlignment w:val="auto"/>
        <w:rPr>
          <w:rFonts w:hint="eastAsia" w:asci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>台式。</w:t>
      </w:r>
    </w:p>
    <w:p w14:paraId="1D64E411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400" w:lineRule="exact"/>
        <w:ind w:left="454" w:hanging="454"/>
        <w:textAlignment w:val="auto"/>
        <w:rPr>
          <w:rFonts w:hint="eastAsia"/>
          <w:b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color w:val="auto"/>
          <w:sz w:val="28"/>
          <w:szCs w:val="28"/>
          <w:lang w:val="en-US" w:eastAsia="zh-CN"/>
        </w:rPr>
        <w:t>吹风方向</w:t>
      </w:r>
      <w:bookmarkStart w:id="0" w:name="_GoBack"/>
      <w:bookmarkEnd w:id="0"/>
    </w:p>
    <w:p w14:paraId="74C204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420" w:firstLineChars="200"/>
        <w:jc w:val="both"/>
        <w:textAlignment w:val="auto"/>
        <w:rPr>
          <w:rFonts w:hint="eastAsia" w:asci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>左右摇头。</w:t>
      </w:r>
    </w:p>
    <w:p w14:paraId="09AC4DE0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400" w:lineRule="exact"/>
        <w:ind w:left="454" w:hanging="454"/>
        <w:textAlignment w:val="auto"/>
        <w:rPr>
          <w:rFonts w:hint="eastAsia"/>
          <w:b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color w:val="auto"/>
          <w:sz w:val="28"/>
          <w:szCs w:val="28"/>
          <w:lang w:val="en-US" w:eastAsia="zh-CN"/>
        </w:rPr>
        <w:t>风扇尺寸</w:t>
      </w:r>
    </w:p>
    <w:p w14:paraId="5F3A08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420" w:firstLineChars="200"/>
        <w:jc w:val="both"/>
        <w:textAlignment w:val="auto"/>
        <w:rPr>
          <w:rFonts w:hint="eastAsia" w:asci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>12寸。</w:t>
      </w:r>
    </w:p>
    <w:p w14:paraId="2A33E9ED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400" w:lineRule="exact"/>
        <w:ind w:left="454" w:hanging="454"/>
        <w:textAlignment w:val="auto"/>
        <w:rPr>
          <w:b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color w:val="auto"/>
          <w:sz w:val="28"/>
          <w:szCs w:val="28"/>
          <w:lang w:val="en-US" w:eastAsia="zh-CN"/>
        </w:rPr>
        <w:t>电压</w:t>
      </w:r>
    </w:p>
    <w:p w14:paraId="6A438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420" w:firstLineChars="200"/>
        <w:jc w:val="both"/>
        <w:textAlignment w:val="auto"/>
        <w:rPr>
          <w:rFonts w:asci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>220伏交流电。</w:t>
      </w:r>
    </w:p>
    <w:p w14:paraId="2C301957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400" w:lineRule="exact"/>
        <w:ind w:left="454" w:hanging="454"/>
        <w:textAlignment w:val="auto"/>
        <w:rPr>
          <w:rFonts w:hint="eastAsia"/>
          <w:b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color w:val="auto"/>
          <w:sz w:val="28"/>
          <w:szCs w:val="28"/>
          <w:lang w:val="en-US" w:eastAsia="zh-CN"/>
        </w:rPr>
        <w:t>最大功率</w:t>
      </w:r>
    </w:p>
    <w:p w14:paraId="728BFC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420" w:firstLineChars="200"/>
        <w:jc w:val="both"/>
        <w:textAlignment w:val="auto"/>
        <w:rPr>
          <w:rFonts w:asci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>50W左右。</w:t>
      </w:r>
    </w:p>
    <w:p w14:paraId="507E0190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400" w:lineRule="exact"/>
        <w:ind w:left="454" w:hanging="454"/>
        <w:textAlignment w:val="auto"/>
        <w:rPr>
          <w:rFonts w:hint="eastAsia"/>
          <w:b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color w:val="auto"/>
          <w:sz w:val="28"/>
          <w:szCs w:val="28"/>
          <w:lang w:val="en-US" w:eastAsia="zh-CN"/>
        </w:rPr>
        <w:t>转速调节</w:t>
      </w:r>
    </w:p>
    <w:p w14:paraId="7E9C86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420" w:firstLineChars="200"/>
        <w:jc w:val="both"/>
        <w:textAlignment w:val="auto"/>
        <w:rPr>
          <w:rFonts w:asci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>3-4档调节。</w:t>
      </w:r>
    </w:p>
    <w:p w14:paraId="0A3138E6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400" w:lineRule="exact"/>
        <w:ind w:left="454" w:hanging="454"/>
        <w:textAlignment w:val="auto"/>
        <w:rPr>
          <w:b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color w:val="auto"/>
          <w:sz w:val="28"/>
          <w:szCs w:val="28"/>
          <w:lang w:val="en-US" w:eastAsia="zh-CN"/>
        </w:rPr>
        <w:t>控制开关</w:t>
      </w:r>
    </w:p>
    <w:p w14:paraId="3CEA9A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420" w:firstLineChars="200"/>
        <w:jc w:val="both"/>
        <w:textAlignment w:val="auto"/>
        <w:rPr>
          <w:rFonts w:hint="eastAsia" w:asci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>机械式。</w:t>
      </w:r>
    </w:p>
    <w:p w14:paraId="13859671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400" w:lineRule="exact"/>
        <w:ind w:left="454" w:hanging="454"/>
        <w:textAlignment w:val="auto"/>
        <w:rPr>
          <w:rFonts w:hint="eastAsia"/>
          <w:b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color w:val="auto"/>
          <w:sz w:val="28"/>
          <w:szCs w:val="28"/>
          <w:lang w:val="en-US" w:eastAsia="zh-CN"/>
        </w:rPr>
        <w:t>安全标准</w:t>
      </w:r>
    </w:p>
    <w:p w14:paraId="36B9C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420" w:firstLineChars="200"/>
        <w:jc w:val="both"/>
        <w:textAlignment w:val="auto"/>
        <w:rPr>
          <w:rFonts w:hint="eastAsia" w:asci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>GB 4706.27-2008《家用和类似用途电器的安全 第2部分：电风扇的特殊要求》；取得CCC认证。</w:t>
      </w:r>
    </w:p>
    <w:p w14:paraId="6EA97F07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5" w:after="0" w:line="400" w:lineRule="exact"/>
        <w:ind w:left="454" w:hanging="454"/>
        <w:textAlignment w:val="auto"/>
        <w:rPr>
          <w:rFonts w:hint="eastAsia"/>
          <w:b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color w:val="auto"/>
          <w:sz w:val="28"/>
          <w:szCs w:val="28"/>
          <w:lang w:val="en-US" w:eastAsia="zh-CN"/>
        </w:rPr>
        <w:t>能效标准</w:t>
      </w:r>
    </w:p>
    <w:p w14:paraId="16B4A2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420" w:firstLineChars="200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  <w:sectPr>
          <w:headerReference r:id="rId4" w:type="default"/>
          <w:footerReference r:id="rId5" w:type="default"/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="宋体" w:eastAsia="宋体" w:cs="宋体"/>
          <w:color w:val="auto"/>
          <w:sz w:val="21"/>
          <w:szCs w:val="21"/>
          <w:lang w:val="en-US" w:eastAsia="zh-CN"/>
        </w:rPr>
        <w:t>GB 12021.9-2021《电风扇效能限定值及能效等级》</w:t>
      </w:r>
    </w:p>
    <w:p w14:paraId="3970172F">
      <w:pPr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</w:p>
    <w:sectPr>
      <w:headerReference r:id="rId6" w:type="default"/>
      <w:footerReference r:id="rId7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17B744F-D1BA-4E16-BE99-8F8200F3D74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BED2826D-6C05-4DA7-85CD-9152ED225520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0470B471-BE57-4629-822D-212A4D1E76B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624D5E40-FC7A-4DCE-BEA0-413919DFF0EA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5" w:fontKey="{935A500E-CDC5-4776-B842-FF193930DDB3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6" w:fontKey="{553454C7-F69B-419B-BF59-BD0B4A0834CC}"/>
  </w:font>
  <w:font w:name="宋体-PUA">
    <w:altName w:val="宋体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2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WPSEMBED3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99A40D">
    <w:pPr>
      <w:pStyle w:val="12"/>
    </w:pPr>
    <w:r>
      <w:rPr>
        <w:sz w:val="18"/>
      </w:rPr>
      <mc:AlternateContent>
        <mc:Choice Requires="wps">
          <w:drawing>
            <wp:anchor distT="0" distB="0" distL="113665" distR="113665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276860" cy="133350"/>
              <wp:effectExtent l="0" t="0" r="0" b="0"/>
              <wp:wrapNone/>
              <wp:docPr id="1" name="文本框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6834" cy="133159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1CB3530C">
                          <w:pPr>
                            <w:pStyle w:val="1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45" o:spid="_x0000_s1026" o:spt="1" style="position:absolute;left:0pt;margin-top:0pt;height:10.5pt;width:21.8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5/w9YdcAAAAD&#10;AQAADwAAAGRycy9kb3ducmV2LnhtbE2PQUvDQBCF74L/YRmhl9LuJkqRmE0PihVED42l4G2bnWZD&#10;s7Mxu02qv961l3oZeLzHe9/ky5Nt2YC9bxxJSOYCGFLldEO1hM3H8+wemA+KtGodoYRv9LAsrq9y&#10;lWk30hqHMtQslpDPlAQTQpdx7iuDVvm565Cit3e9VSHKvua6V2Msty1PhVhwqxqKC0Z1+GiwOpRH&#10;K+HtafW5nZpXkb7/TPduLDfD18tByslNIh6ABTyFSxj+8CM6FJFp546kPWslxEfC+Ubv7nYBbCch&#10;TQTwIuf/2YtfUEsDBBQAAAAIAIdO4kBMnSk/BQIAAPUDAAAOAAAAZHJzL2Uyb0RvYy54bWytU0uO&#10;EzEQ3SNxB8t70vlMhqGVzggRDUJCMNLAARy3O23JP1U56Q4HgBuwYsOec+UclN35jIbNLNh0l+3y&#10;q3qvnhe3vTVspwC1dxWfjMacKSd9rd2m4l+/3L264QyjcLUw3qmK7xXy2+XLF4sulGrqW29qBYxA&#10;HJZdqHgbYyiLAmWrrMCRD8rRYePBikhL2BQ1iI7QrSmm4/F10XmoA3ipEGl3NRzyIyI8B9A3jZZq&#10;5eXWKhcHVFBGRKKErQ7Il7nbplEyfm4aVJGZihPTmL9UhOJ1+hbLhSg3IEKr5bEF8ZwWnnCyQjsq&#10;eoZaiSjYFvQ/UFZL8OibOJLeFgORrAixmIyfaPPQiqAyF5Iaw1l0/H+w8tPuHpiuyQmcOWFp4Ief&#10;Pw6//hx+f2dX86RPF7CktIdwD8cVUpjI9g3Y9CcarM+a7s+aqj4ySZvT19c3syvOJB1NZrPJ/E3C&#10;LC6XA2B8r7xlKag40MiykmL3EeOQekpJtZy/08bQviiNY13Fr2dzGqYUZMWGLEChDUQH3SbDPMpP&#10;MCuBLdsJcgN6o+th/uC3rh5KGUfNJcYDxxTFft3TYQrXvt6TXPR6qNPWwzfOOvJOxR09Fc7MB0ej&#10;STY7BXAK1qdAOEkXK06NDuG7ONhxG0BvWsId574xvN1G4poluNQ+dkduyCIenZvs9nidsy6vdf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5/w9YdcAAAADAQAADwAAAAAAAAABACAAAAAiAAAAZHJz&#10;L2Rvd25yZXYueG1sUEsBAhQAFAAAAAgAh07iQEydKT8FAgAA9QMAAA4AAAAAAAAAAQAgAAAAJgEA&#10;AGRycy9lMm9Eb2MueG1sUEsFBgAAAAAGAAYAWQEAAJ0FAAAAAA==&#10;">
              <v:fill on="f" focussize="0,0"/>
              <v:stroke on="f" weight="0.5pt" joinstyle="round"/>
              <v:imagedata o:title=""/>
              <o:lock v:ext="edit" aspectratio="f"/>
              <v:textbox inset="0mm,0mm,0mm,0mm" style="mso-fit-shape-to-text:t;">
                <w:txbxContent>
                  <w:p w14:paraId="1CB3530C">
                    <w:pPr>
                      <w:pStyle w:val="1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503C70">
    <w:pPr>
      <w:spacing w:line="173" w:lineRule="auto"/>
      <w:rPr>
        <w:rFonts w:ascii="Times New Roman" w:hAnsi="Times New Roman" w:eastAsia="Times New Roman" w:cs="Times New Roman"/>
        <w:sz w:val="14"/>
        <w:szCs w:val="14"/>
      </w:rPr>
    </w:pPr>
    <w:r>
      <w:rPr>
        <w:sz w:val="14"/>
      </w:rPr>
      <mc:AlternateContent>
        <mc:Choice Requires="wps">
          <w:drawing>
            <wp:anchor distT="0" distB="0" distL="113665" distR="113665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349250" cy="133350"/>
              <wp:effectExtent l="0" t="0" r="0" b="0"/>
              <wp:wrapNone/>
              <wp:docPr id="91" name="文本框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9072" cy="133159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0CD24A60">
                          <w:pPr>
                            <w:pStyle w:val="1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- 26 -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63" o:spid="_x0000_s1026" o:spt="1" style="position:absolute;left:0pt;margin-top:0pt;height:10.5pt;width:27.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nbfu9UAAAAD&#10;AQAADwAAAGRycy9kb3ducmV2LnhtbE2PQUvEMBCF74L/IYzgZXGTFlakNt2DooLowboI3rLNbFO2&#10;mdQm267+ekcvennweMN735Tro+/FhGPsAmnIlgoEUhNsR62GzevdxRWImAxZ0wdCDZ8YYV2dnpSm&#10;sGGmF5zq1AouoVgYDS6loZAyNg69icswIHG2C6M3ie3YSjuamct9L3OlLqU3HfGCMwPeOGz29cFr&#10;eLq9f39buEeVP38tdmGuN9PHw17r87NMXYNIeEx/x/CDz+hQMdM2HMhG0WvgR9KvcrZasdtqyDMF&#10;sirlf/bqG1BLAwQUAAAACACHTuJABoJjXAYCAAD2AwAADgAAAGRycy9lMm9Eb2MueG1srVNLbtsw&#10;FNwX6B0I7mvJVuPWguWgqJGiQNEGSHsAmqIsAvyBj7LkHqC9QVfddJ9z+Rx9pPwJkk0W2UjD37w3&#10;w+HyetCK7IQHaU1Fp5OcEmG4raXZVvTH95s37ymBwEzNlDWionsB9Hr1+tWyd6WY2daqWniCJAbK&#10;3lW0DcGVWQa8FZrBxDphcLGxXrOAQ7/Nas96ZNcqm+X5POutr523XADg7HpcpEdG/xxC2zSSi7Xl&#10;nRYmjKxeKBZQErTSAV2lbptG8PCtaUAEoiqKSkP6YhHEm/jNVktWbj1zreTHFthzWnikSTNpsOiZ&#10;as0CI52XT6i05N6CbcKEW52NQpIjqGKaP/LmrmVOJC1oNbiz6fBytPzr7tYTWVd0MaXEMI03fvjz&#10;+/D3/vDvF5kX0aDeQYn77tytP44AYVQ7NF7HP+ogQzJ1fzZVDIFwnCzeLvJ3M0o4Lk2LYnq1iJzZ&#10;5bDzED4Jq0kEFfV4Z8lKtvsCYdx62hJrGXsjlcJ5VipD+orOiyu8Tc4wiw1mAKF2qAfMNtE82B9p&#10;1gxasmMYB7BK1mMAvO1MPZZSBpuLikeNEYVhM+BihBtb79EvfD7YaWv9T0p6DE9FDb4VStRng3cT&#10;c3YC/gQ2J8AMx4MVxUZH+DGMeeycl9sWefPUN7gPXUCtyYJL7WN3GIdk4jG6MW8Px2nX5bmu/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Kdt+71QAAAAMBAAAPAAAAAAAAAAEAIAAAACIAAABkcnMv&#10;ZG93bnJldi54bWxQSwECFAAUAAAACACHTuJABoJjXAYCAAD2AwAADgAAAAAAAAABACAAAAAkAQAA&#10;ZHJzL2Uyb0RvYy54bWxQSwUGAAAAAAYABgBZAQAAnAUAAAAA&#10;">
              <v:fill on="f" focussize="0,0"/>
              <v:stroke on="f" weight="0.5pt" joinstyle="round"/>
              <v:imagedata o:title=""/>
              <o:lock v:ext="edit" aspectratio="f"/>
              <v:textbox inset="0mm,0mm,0mm,0mm" style="mso-fit-shape-to-text:t;">
                <w:txbxContent>
                  <w:p w14:paraId="0CD24A60">
                    <w:pPr>
                      <w:pStyle w:val="1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- 26 -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1C830B">
    <w:pPr>
      <w:spacing w:line="173" w:lineRule="auto"/>
      <w:rPr>
        <w:rFonts w:ascii="Times New Roman" w:hAnsi="Times New Roman" w:eastAsia="Times New Roman" w:cs="Times New Roman"/>
        <w:sz w:val="14"/>
        <w:szCs w:val="14"/>
      </w:rPr>
    </w:pPr>
    <w:r>
      <w:rPr>
        <w:sz w:val="1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0" name="文本框 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707FF1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eh/es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3kASwzQqfvn+7fLj&#10;1+XnV4IzCFS7MEfcziEyNm9tg7YZzgMOE++m9Dp9wYjAD6zzVV7RRMLTpdl0NhvDxeEbNsDPHq87&#10;H+I7YTVJRk496tfKyk7bELvQISRlM3YjlWprqAypQeL1m3F74eoBuDLIkUh0j01WbPZNz2xvizOI&#10;edv1RnB8I5F8y0J8YB7NgAdjXOI9llJZJLG9RUll/Zd/nad41AheSmo0V04NZokS9d6gdgCMg+EH&#10;Yz8Y5qjvLLp1gjF0vDVxwUc1mKW3+jNmaJVywMUMR6acxsG8i12DYwa5WK3aoKPz8lB1F9B5jsWt&#10;2Tme0iQhg1sdI8RsNU4Cdar0uqH32ir1c5Ka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Hof3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707FF1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828B7E">
    <w:pPr>
      <w:spacing w:before="71" w:line="187" w:lineRule="auto"/>
      <w:ind w:left="7270"/>
      <w:rPr>
        <w:rFonts w:ascii="Times New Roman" w:hAnsi="Times New Roman" w:eastAsia="Times New Roman" w:cs="Times New Roman"/>
        <w:sz w:val="17"/>
        <w:szCs w:val="17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EFCDAA">
    <w:pPr>
      <w:spacing w:before="71" w:line="187" w:lineRule="auto"/>
      <w:ind w:left="7270"/>
      <w:rPr>
        <w:rFonts w:ascii="Times New Roman" w:hAnsi="Times New Roman" w:eastAsia="Times New Roman" w:cs="Times New Roman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6404C4"/>
    <w:multiLevelType w:val="multilevel"/>
    <w:tmpl w:val="AD6404C4"/>
    <w:lvl w:ilvl="0" w:tentative="0">
      <w:start w:val="1"/>
      <w:numFmt w:val="decimal"/>
      <w:lvlText w:val="%1."/>
      <w:legacy w:legacy="1" w:legacySpace="0" w:legacyIndent="425"/>
      <w:lvlJc w:val="left"/>
      <w:pPr>
        <w:ind w:left="425" w:hanging="425"/>
      </w:pPr>
      <w:rPr>
        <w:rFonts w:hint="default" w:ascii="黑体" w:hAnsi="黑体" w:eastAsia="黑体" w:cs="黑体"/>
        <w:sz w:val="28"/>
        <w:szCs w:val="28"/>
      </w:rPr>
    </w:lvl>
    <w:lvl w:ilvl="1" w:tentative="0">
      <w:start w:val="1"/>
      <w:numFmt w:val="decimal"/>
      <w:suff w:val="nothing"/>
      <w:lvlText w:val="%1.%2."/>
      <w:legacy w:legacy="1" w:legacySpace="0" w:legacyIndent="453"/>
      <w:lvlJc w:val="left"/>
      <w:pPr>
        <w:ind w:left="850" w:hanging="453"/>
      </w:pPr>
      <w:rPr>
        <w:rFonts w:hint="default"/>
        <w:sz w:val="21"/>
        <w:szCs w:val="21"/>
      </w:rPr>
    </w:lvl>
    <w:lvl w:ilvl="2" w:tentative="0">
      <w:start w:val="1"/>
      <w:numFmt w:val="decimal"/>
      <w:lvlText w:val="%1.%2.%3."/>
      <w:legacy w:legacy="1" w:legacySpace="0" w:legacyIndent="708"/>
      <w:lvlJc w:val="left"/>
      <w:pPr>
        <w:ind w:left="1332" w:hanging="708"/>
      </w:pPr>
      <w:rPr>
        <w:rFonts w:hint="default"/>
      </w:rPr>
    </w:lvl>
    <w:lvl w:ilvl="3" w:tentative="0">
      <w:start w:val="1"/>
      <w:numFmt w:val="decimal"/>
      <w:lvlText w:val="%1.%2.%3.%4."/>
      <w:legacy w:legacy="1" w:legacySpace="0" w:legacyIndent="853"/>
      <w:lvlJc w:val="left"/>
      <w:pPr>
        <w:ind w:left="2053" w:hanging="853"/>
      </w:pPr>
      <w:rPr>
        <w:rFonts w:hint="default"/>
      </w:rPr>
    </w:lvl>
    <w:lvl w:ilvl="4" w:tentative="0">
      <w:start w:val="1"/>
      <w:numFmt w:val="decimal"/>
      <w:lvlText w:val="%1.%2.%3.%4.%5."/>
      <w:legacy w:legacy="1" w:legacySpace="0" w:legacyIndent="895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egacy w:legacy="1" w:legacySpace="0" w:legacyIndent="1136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egacy w:legacy="1" w:legacySpace="0" w:legacyIndent="1273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egacy w:legacy="1" w:legacySpace="0" w:legacyIndent="1418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egacy w:legacy="1" w:legacySpace="0" w:legacyIndent="1448"/>
      <w:lvlJc w:val="left"/>
      <w:pPr>
        <w:ind w:left="4648" w:hanging="144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395"/>
    <w:rsid w:val="000F3395"/>
    <w:rsid w:val="000F6E69"/>
    <w:rsid w:val="00136843"/>
    <w:rsid w:val="003155C7"/>
    <w:rsid w:val="00464DA1"/>
    <w:rsid w:val="005C3C75"/>
    <w:rsid w:val="00900EE6"/>
    <w:rsid w:val="00D0337C"/>
    <w:rsid w:val="00DC0095"/>
    <w:rsid w:val="00F00EA3"/>
    <w:rsid w:val="097A0CC0"/>
    <w:rsid w:val="0C873844"/>
    <w:rsid w:val="0C932E90"/>
    <w:rsid w:val="102B6CAD"/>
    <w:rsid w:val="12107727"/>
    <w:rsid w:val="13AC4E02"/>
    <w:rsid w:val="16DB5081"/>
    <w:rsid w:val="17360783"/>
    <w:rsid w:val="1781510B"/>
    <w:rsid w:val="1EFF4DAB"/>
    <w:rsid w:val="1FDA1374"/>
    <w:rsid w:val="23256DAA"/>
    <w:rsid w:val="25194D8B"/>
    <w:rsid w:val="28FE1F8C"/>
    <w:rsid w:val="2FC355E6"/>
    <w:rsid w:val="311D623C"/>
    <w:rsid w:val="312241A9"/>
    <w:rsid w:val="3B74225F"/>
    <w:rsid w:val="3C7E3192"/>
    <w:rsid w:val="3E691DE9"/>
    <w:rsid w:val="3FBA40EA"/>
    <w:rsid w:val="45B119E6"/>
    <w:rsid w:val="4D1A037F"/>
    <w:rsid w:val="4D1A7EAD"/>
    <w:rsid w:val="4D716512"/>
    <w:rsid w:val="4E785B25"/>
    <w:rsid w:val="4FC400C3"/>
    <w:rsid w:val="53806F03"/>
    <w:rsid w:val="5BD80943"/>
    <w:rsid w:val="65B33423"/>
    <w:rsid w:val="69223BD5"/>
    <w:rsid w:val="6DC5730F"/>
    <w:rsid w:val="755A7318"/>
    <w:rsid w:val="7BF32717"/>
    <w:rsid w:val="C76D3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3"/>
    <w:next w:val="1"/>
    <w:link w:val="23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12">
    <w:name w:val="footer"/>
    <w:basedOn w:val="1"/>
    <w:link w:val="4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30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7">
    <w:name w:val="Table Grid"/>
    <w:basedOn w:val="16"/>
    <w:qFormat/>
    <w:uiPriority w:val="59"/>
    <w:rPr>
      <w:rFonts w:ascii="Cambria" w:hAnsi="Cambria" w:eastAsia="黑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Strong"/>
    <w:basedOn w:val="18"/>
    <w:qFormat/>
    <w:uiPriority w:val="0"/>
    <w:rPr>
      <w:b/>
    </w:rPr>
  </w:style>
  <w:style w:type="character" w:styleId="20">
    <w:name w:val="Hyperlink"/>
    <w:basedOn w:val="18"/>
    <w:qFormat/>
    <w:uiPriority w:val="0"/>
    <w:rPr>
      <w:color w:val="0000FF"/>
      <w:u w:val="single"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2">
    <w:name w:val="Quote"/>
    <w:basedOn w:val="1"/>
    <w:next w:val="1"/>
    <w:link w:val="33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3">
    <w:name w:val="引用 字符"/>
    <w:basedOn w:val="18"/>
    <w:link w:val="3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4">
    <w:name w:val="List Paragraph"/>
    <w:basedOn w:val="1"/>
    <w:qFormat/>
    <w:uiPriority w:val="34"/>
    <w:pPr>
      <w:ind w:left="720"/>
      <w:contextualSpacing/>
    </w:pPr>
  </w:style>
  <w:style w:type="character" w:customStyle="1" w:styleId="35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6">
    <w:name w:val="Intense Quote"/>
    <w:basedOn w:val="1"/>
    <w:next w:val="1"/>
    <w:link w:val="37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7">
    <w:name w:val="明显引用 字符"/>
    <w:basedOn w:val="18"/>
    <w:link w:val="36"/>
    <w:qFormat/>
    <w:uiPriority w:val="30"/>
    <w:rPr>
      <w:i/>
      <w:iCs/>
      <w:color w:val="104862" w:themeColor="accent1" w:themeShade="BF"/>
    </w:rPr>
  </w:style>
  <w:style w:type="character" w:customStyle="1" w:styleId="38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9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40">
    <w:name w:val="页脚 字符"/>
    <w:basedOn w:val="18"/>
    <w:link w:val="12"/>
    <w:qFormat/>
    <w:uiPriority w:val="99"/>
    <w:rPr>
      <w:sz w:val="18"/>
      <w:szCs w:val="18"/>
    </w:rPr>
  </w:style>
  <w:style w:type="paragraph" w:customStyle="1" w:styleId="4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42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3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customStyle="1" w:styleId="44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2614</Words>
  <Characters>3682</Characters>
  <Lines>8</Lines>
  <Paragraphs>2</Paragraphs>
  <TotalTime>15</TotalTime>
  <ScaleCrop>false</ScaleCrop>
  <LinksUpToDate>false</LinksUpToDate>
  <CharactersWithSpaces>3832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2025-08-12T16:40:00Z</dcterms:created>
  <dc:creator>WXB</dc:creator>
  <cp:lastModifiedBy>魏博芸</cp:lastModifiedBy>
  <cp:lastPrinted>2025-08-13T17:13:00Z</cp:lastPrinted>
  <dcterms:modified xsi:type="dcterms:W3CDTF">2026-07-31T10:41:40Z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eyJoZGlkIjoiYzU3NTQyOGYyZDA3Yjk4NDQ1M2RiYjJlYmJjMGI5MmUiLCJ1c2VySWQiOiIzOTUyNDkzODkifQ==</vt:lpwstr>
  </property>
  <property fmtid="{D5CDD505-2E9C-101B-9397-08002B2CF9AE}" pid="3" name="KSOProductBuildVer">
    <vt:lpwstr>2052-12.1.0.28043</vt:lpwstr>
  </property>
  <property fmtid="{D5CDD505-2E9C-101B-9397-08002B2CF9AE}" pid="4" name="ICV">
    <vt:lpwstr>509CACA39FCFA6F8EF9F556A477E5407_43</vt:lpwstr>
  </property>
</Properties>
</file>